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Как заказчик может определить статус социально ориентированной некоммерческой организации при проведении закупки? Вправе ли заказчик требовать от организации - участника закупки для муниципальных нужд какие-либо документы в подтверждение статуса социально ориентированной некоммерческой организации?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Документом, подтверждающим право участника закупки на получение преимуще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>я социально ориентированных организаций, является декларация. Требовать от участников закупки какие-либо иные документы в подтверждение статуса социально ориентированной некоммерческой организации заказчик не вправе. Однако заинтересованным лицам следует учитывать наличие и иной позиции в правоприменительной практике.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Согласно </w:t>
      </w:r>
      <w:hyperlink r:id="rId6" w:history="1">
        <w:r>
          <w:rPr>
            <w:rFonts w:ascii="Calibri" w:hAnsi="Calibri" w:cs="Calibri"/>
            <w:color w:val="0000FF"/>
          </w:rPr>
          <w:t>п. 4 ч. 4 ст. 27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социально ориентированным некоммерческим организациям при осуществлении закупок предоставляются преимущества.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ч. 1 ст. 30</w:t>
        </w:r>
      </w:hyperlink>
      <w:r>
        <w:rPr>
          <w:rFonts w:ascii="Calibri" w:hAnsi="Calibri" w:cs="Calibri"/>
        </w:rPr>
        <w:t xml:space="preserve"> Закона N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15 процентов совокупного годового объема закупок.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следует из </w:t>
      </w:r>
      <w:hyperlink r:id="rId8" w:history="1">
        <w:r>
          <w:rPr>
            <w:rFonts w:ascii="Calibri" w:hAnsi="Calibri" w:cs="Calibri"/>
            <w:color w:val="0000FF"/>
          </w:rPr>
          <w:t>ч. 3 ст. 30</w:t>
        </w:r>
      </w:hyperlink>
      <w:r>
        <w:rPr>
          <w:rFonts w:ascii="Calibri" w:hAnsi="Calibri" w:cs="Calibri"/>
        </w:rPr>
        <w:t xml:space="preserve"> Закона N 44-ФЗ, при определении поставщиков (подрядчиков, исполнителей) способами, указанными в </w:t>
      </w:r>
      <w:hyperlink r:id="rId9" w:history="1">
        <w:r>
          <w:rPr>
            <w:rFonts w:ascii="Calibri" w:hAnsi="Calibri" w:cs="Calibri"/>
            <w:color w:val="0000FF"/>
          </w:rPr>
          <w:t>ч. 1 этой статьи</w:t>
        </w:r>
      </w:hyperlink>
      <w:r>
        <w:rPr>
          <w:rFonts w:ascii="Calibri" w:hAnsi="Calibri" w:cs="Calibri"/>
        </w:rPr>
        <w:t>,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 </w:t>
      </w:r>
      <w:hyperlink r:id="rId10" w:history="1">
        <w:r>
          <w:rPr>
            <w:rFonts w:ascii="Calibri" w:hAnsi="Calibri" w:cs="Calibri"/>
            <w:color w:val="0000FF"/>
          </w:rPr>
          <w:t>ч. 2 ст. 30</w:t>
        </w:r>
      </w:hyperlink>
      <w:r>
        <w:rPr>
          <w:rFonts w:ascii="Calibri" w:hAnsi="Calibri" w:cs="Calibri"/>
        </w:rPr>
        <w:t xml:space="preserve"> Закона N 44-ФЗ следует, что действие указанной статьи распространяется на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hyperlink r:id="rId11" w:history="1">
        <w:r>
          <w:rPr>
            <w:rFonts w:ascii="Calibri" w:hAnsi="Calibri" w:cs="Calibri"/>
            <w:color w:val="0000FF"/>
          </w:rPr>
          <w:t>п. 1 ст. 31.1</w:t>
        </w:r>
      </w:hyperlink>
      <w:r>
        <w:rPr>
          <w:rFonts w:ascii="Calibri" w:hAnsi="Calibri" w:cs="Calibri"/>
        </w:rPr>
        <w:t xml:space="preserve"> Федерального закона от 12.01.1996 N 7-ФЗ "О некоммерческих организациях".</w:t>
      </w:r>
      <w:proofErr w:type="gramEnd"/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2" w:history="1">
        <w:r>
          <w:rPr>
            <w:rFonts w:ascii="Calibri" w:hAnsi="Calibri" w:cs="Calibri"/>
            <w:color w:val="0000FF"/>
          </w:rPr>
          <w:t>ч. 3 ст. 30</w:t>
        </w:r>
      </w:hyperlink>
      <w:r>
        <w:rPr>
          <w:rFonts w:ascii="Calibri" w:hAnsi="Calibri" w:cs="Calibri"/>
        </w:rPr>
        <w:t xml:space="preserve"> Закона N 44-ФЗ при определении поставщиков (подрядчиков, исполнителей) способами, указанными в </w:t>
      </w:r>
      <w:hyperlink r:id="rId13" w:history="1">
        <w:r>
          <w:rPr>
            <w:rFonts w:ascii="Calibri" w:hAnsi="Calibri" w:cs="Calibri"/>
            <w:color w:val="0000FF"/>
          </w:rPr>
          <w:t>ч. 1 указанной статьи</w:t>
        </w:r>
      </w:hyperlink>
      <w:r>
        <w:rPr>
          <w:rFonts w:ascii="Calibri" w:hAnsi="Calibri" w:cs="Calibri"/>
        </w:rPr>
        <w:t>,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4" w:history="1">
        <w:r>
          <w:rPr>
            <w:rFonts w:ascii="Calibri" w:hAnsi="Calibri" w:cs="Calibri"/>
            <w:color w:val="0000FF"/>
          </w:rPr>
          <w:t>Письма</w:t>
        </w:r>
      </w:hyperlink>
      <w:r>
        <w:rPr>
          <w:rFonts w:ascii="Calibri" w:hAnsi="Calibri" w:cs="Calibri"/>
        </w:rPr>
        <w:t xml:space="preserve"> Минэкономразвития России N 7158-ЕЕ/Д28и, ФАС России N АЦ/13590/14 от 04.04.2014 следует: </w:t>
      </w:r>
      <w:hyperlink r:id="rId15" w:history="1">
        <w:r>
          <w:rPr>
            <w:rFonts w:ascii="Calibri" w:hAnsi="Calibri" w:cs="Calibri"/>
            <w:color w:val="0000FF"/>
          </w:rPr>
          <w:t>ст. 30</w:t>
        </w:r>
      </w:hyperlink>
      <w:r>
        <w:rPr>
          <w:rFonts w:ascii="Calibri" w:hAnsi="Calibri" w:cs="Calibri"/>
        </w:rPr>
        <w:t xml:space="preserve"> Закона N 44-ФЗ установлено, что документом, подтверждающим право участника открытого конкурса, электронного аукциона, запроса котировок, запроса предложений на получение преимуще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 xml:space="preserve">я социально ориентированных организаций, является декларация. Необходимость представления иных документов, подтверждающих статус такого участника как социально ориентированной некоммерческой организации,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предусмотрена.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Аналогичный вывод содержится в </w:t>
      </w:r>
      <w:hyperlink r:id="rId17" w:history="1">
        <w:r>
          <w:rPr>
            <w:rFonts w:ascii="Calibri" w:hAnsi="Calibri" w:cs="Calibri"/>
            <w:color w:val="0000FF"/>
          </w:rPr>
          <w:t>Решении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Владимирского</w:t>
      </w:r>
      <w:proofErr w:type="gramEnd"/>
      <w:r>
        <w:rPr>
          <w:rFonts w:ascii="Calibri" w:hAnsi="Calibri" w:cs="Calibri"/>
        </w:rPr>
        <w:t xml:space="preserve"> УФАС России от 11.04.2014 по делу N Г-165-04/2014.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документом, подтверждающим право участника закупки на получение преимуще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>я социально ориентированных организаций, является декларация. Требовать от участников закупки какие-либо иные документы в подтверждение статуса социально ориентированной некоммерческой организации заказчик не вправе.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Однако отмечаем, что в правоприменительной практике имеется и иная позиция.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К примеру, Тамбовский УФАС России в </w:t>
      </w:r>
      <w:hyperlink r:id="rId18" w:history="1">
        <w:r>
          <w:rPr>
            <w:rFonts w:ascii="Calibri" w:hAnsi="Calibri" w:cs="Calibri"/>
            <w:color w:val="0000FF"/>
          </w:rPr>
          <w:t>Решении</w:t>
        </w:r>
      </w:hyperlink>
      <w:r>
        <w:rPr>
          <w:rFonts w:ascii="Calibri" w:hAnsi="Calibri" w:cs="Calibri"/>
        </w:rPr>
        <w:t xml:space="preserve"> от 23.04.2014 по делу N РЗ-69/14 признал правомерным вывод о том, что участникам закупки необходимо декларировать в заявках на участие в аукционе свою принадлежность к субъектам малого предпринимательства или социально ориентированным некоммерческим организациям, а также представить во второй части заявки документы, подтверждающие такую принадлежность.</w:t>
      </w:r>
      <w:proofErr w:type="gramEnd"/>
      <w:r>
        <w:rPr>
          <w:rFonts w:ascii="Calibri" w:hAnsi="Calibri" w:cs="Calibri"/>
        </w:rPr>
        <w:t xml:space="preserve"> При этом исчерпывающий перечень таких документов может быть установлен документацией об аукционе. Отсутствие же документов (помимо декларации), подтверждающих принадлежность участника к субъектам, предусмотренным </w:t>
      </w:r>
      <w:hyperlink r:id="rId19" w:history="1">
        <w:r>
          <w:rPr>
            <w:rFonts w:ascii="Calibri" w:hAnsi="Calibri" w:cs="Calibri"/>
            <w:color w:val="0000FF"/>
          </w:rPr>
          <w:t>ч. 1 ст. 30</w:t>
        </w:r>
      </w:hyperlink>
      <w:r>
        <w:rPr>
          <w:rFonts w:ascii="Calibri" w:hAnsi="Calibri" w:cs="Calibri"/>
        </w:rPr>
        <w:t xml:space="preserve"> Закона N 44-ФЗ, является основанием для признания заявки не соответствующей требованиям, установленным документацией о закупке.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нашему мнению, подобная позиция, скорее, является исключением. Однако заинтересованным лицам следует учитывать наличие подобной позиции в правоприменительной практике и быть готовыми отстаивать иное мнение в антимонопольных органах и в суде.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10.10.2014</w:t>
      </w: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5E12" w:rsidRDefault="00665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65E12" w:rsidRDefault="00665E1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634E7" w:rsidRDefault="004634E7">
      <w:bookmarkStart w:id="0" w:name="_GoBack"/>
      <w:bookmarkEnd w:id="0"/>
    </w:p>
    <w:sectPr w:rsidR="004634E7" w:rsidSect="00F7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12"/>
    <w:rsid w:val="004634E7"/>
    <w:rsid w:val="006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C8298C9F59C41079199BA1C2517EE261D966DCA1AFE84C78F4CF1A7DE677898DC245E0F88C466Y3B8N" TargetMode="External"/><Relationship Id="rId13" Type="http://schemas.openxmlformats.org/officeDocument/2006/relationships/hyperlink" Target="consultantplus://offline/ref=48DC8298C9F59C41079199BA1C2517EE261D966DCA1AFE84C78F4CF1A7DE677898DC245E0F89CF61Y3B6N" TargetMode="External"/><Relationship Id="rId18" Type="http://schemas.openxmlformats.org/officeDocument/2006/relationships/hyperlink" Target="consultantplus://offline/ref=48DC8298C9F59C41079187BC184D42BD2A1A9B6DCF1FFE84C78F4CF1A7YDB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8DC8298C9F59C41079199BA1C2517EE261D966DCA1AFE84C78F4CF1A7DE677898DC245E0F89CF61Y3B6N" TargetMode="External"/><Relationship Id="rId12" Type="http://schemas.openxmlformats.org/officeDocument/2006/relationships/hyperlink" Target="consultantplus://offline/ref=48DC8298C9F59C41079199BA1C2517EE261D966DCA1AFE84C78F4CF1A7DE677898DC245E0F88C466Y3B8N" TargetMode="External"/><Relationship Id="rId17" Type="http://schemas.openxmlformats.org/officeDocument/2006/relationships/hyperlink" Target="consultantplus://offline/ref=48DC8298C9F59C41079187BC184D42BD2A1A9B62C91AFE84C78F4CF1A7DE677898DC245E0F88C763Y3B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DC8298C9F59C41079199BA1C2517EE261D966DCA1AFE84C78F4CF1A7DE677898DC245E0F88C466Y3B7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DC8298C9F59C41079199BA1C2517EE261D966DCA1AFE84C78F4CF1A7DE677898DC245E0F88C465Y3B9N" TargetMode="External"/><Relationship Id="rId11" Type="http://schemas.openxmlformats.org/officeDocument/2006/relationships/hyperlink" Target="consultantplus://offline/ref=48DC8298C9F59C41079199BA1C2517EE261D9565CE18FE84C78F4CF1A7DE677898DC245E0CY8BD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DC8298C9F59C41079199BA1C2517EE261D966DCA1AFE84C78F4CF1A7DE677898DC245E0F88C466Y3B8N" TargetMode="External"/><Relationship Id="rId10" Type="http://schemas.openxmlformats.org/officeDocument/2006/relationships/hyperlink" Target="consultantplus://offline/ref=48DC8298C9F59C41079199BA1C2517EE261D966DCA1AFE84C78F4CF1A7DE677898DC245E0F88C466Y3B9N" TargetMode="External"/><Relationship Id="rId19" Type="http://schemas.openxmlformats.org/officeDocument/2006/relationships/hyperlink" Target="consultantplus://offline/ref=48DC8298C9F59C41079199BA1C2517EE261D966DCA1AFE84C78F4CF1A7DE677898DC245E0F89CF61Y3B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DC8298C9F59C41079199BA1C2517EE261D966DCA1AFE84C78F4CF1A7DE677898DC245E0F89CF61Y3B6N" TargetMode="External"/><Relationship Id="rId14" Type="http://schemas.openxmlformats.org/officeDocument/2006/relationships/hyperlink" Target="consultantplus://offline/ref=48DC8298C9F59C41079199BA1C2517EE261D9262C81AFE84C78F4CF1A7YDB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2014-12-17T13:01:00Z</dcterms:created>
  <dcterms:modified xsi:type="dcterms:W3CDTF">2014-12-17T13:01:00Z</dcterms:modified>
</cp:coreProperties>
</file>